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 февраля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105-2801/2026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Мотошина Николая Андреевича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5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21.10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Мотошин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6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</w:t>
      </w:r>
      <w:r>
        <w:rPr>
          <w:rFonts w:ascii="Times New Roman" w:eastAsia="Times New Roman" w:hAnsi="Times New Roman" w:cs="Times New Roman"/>
          <w:sz w:val="25"/>
          <w:szCs w:val="25"/>
        </w:rPr>
        <w:t>804056956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Мотошин Н.А</w:t>
      </w:r>
      <w:r>
        <w:rPr>
          <w:rFonts w:ascii="Times New Roman" w:eastAsia="Times New Roman" w:hAnsi="Times New Roman" w:cs="Times New Roman"/>
          <w:sz w:val="25"/>
          <w:szCs w:val="25"/>
        </w:rPr>
        <w:t>. не явился, о месте и времени рассмотрения дела был надлежаще уведомлен, ходатайство об отложении рассмотрении дела 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поступило. Уважительная причина не явки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частью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03.02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04.08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>о том, что лицо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 и его действия по факту неуплаты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Мотошин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Мотошина Николая Андреевича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 пятисот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Постановление может быть обжаловано в Ханты-Мансийский 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суд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Банк: РКЦ г. Ханты-Мансийска//УФК по ХМАО – Югре 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0412365400285001052620147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7rplc-37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7rplc-37">
    <w:name w:val="cat-UserDefined grp-27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